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28"/>
          <w:szCs w:val="28"/>
        </w:rPr>
        <w:t xml:space="preserve">Факультет електроніки та комп’ютерних технологій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sz w:val="28"/>
          <w:szCs w:val="28"/>
        </w:rPr>
        <w:t xml:space="preserve">Кафедра радіоелектронних і комп’ютерних систем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left="524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РКС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електроніки та комп’ютерних технологій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31 серпня 2020 р.)</w:t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В.о. завідувача кафедри </w:t>
      </w:r>
      <w:r>
        <w:rPr>
          <w:rFonts w:ascii="Times New Roman" w:hAnsi="Times New Roman"/>
          <w:sz w:val="24"/>
          <w:szCs w:val="24"/>
        </w:rPr>
        <w:t xml:space="preserve">Оленич І .Б. </w:t>
      </w:r>
      <w:r>
        <w:rPr>
          <w:rFonts w:ascii="Times New Roman" w:hAnsi="Times New Roman"/>
          <w:sz w:val="24"/>
          <w:szCs w:val="24"/>
        </w:rPr>
        <w:t xml:space="preserve"> ____________________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bCs/>
          <w:color w:val="000000" w:themeColor="text1" w:themeShade="ff" w:themeTint="ff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bCs/>
          <w:color w:val="000000" w:themeColor="text1" w:themeShade="ff" w:themeTint="ff"/>
          <w:kern w:val="0"/>
          <w:sz w:val="32"/>
          <w:szCs w:val="32"/>
          <w:lang w:val="uk-UA" w:eastAsia="en-US" w:bidi="ar-SA"/>
        </w:rPr>
        <w:t>Кіберфізичні системи</w:t>
      </w:r>
      <w:r>
        <w:rPr>
          <w:rFonts w:eastAsia="Times New Roman" w:ascii="Times New Roman" w:hAnsi="Times New Roman"/>
          <w:b/>
          <w:bCs/>
          <w:color w:val="000000" w:themeColor="text1" w:themeShade="ff" w:themeTint="ff"/>
          <w:sz w:val="32"/>
          <w:szCs w:val="32"/>
        </w:rPr>
        <w:t>»,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 xml:space="preserve">що викладається в межах ОПП «Інформаційні системи та технології» першого (бакалаврського) рівня вищої освіти для здобувачів з спеціальності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>126 «Інформаційні системи та технології»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color w:val="000000"/>
          <w:sz w:val="28"/>
          <w:szCs w:val="28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Львів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Кіберфізичні системи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м. Львів, вул. Драгоманова, 50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електроніки та комп’ютерних технологій, кафедра радіоелектронних і комп’ютерних систем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 Інформаційні технології, 126 Інформаційні системи та технології</w:t>
            </w:r>
          </w:p>
        </w:tc>
      </w:tr>
      <w:tr>
        <w:trPr>
          <w:trHeight w:val="297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Сінькевич Олег Олександрович, асистент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0" w:right="-54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oleh.sinkevych@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lnu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</w:t>
            </w:r>
            <w:hyperlink r:id="rId2">
              <w:r>
                <w:rPr>
                  <w:rFonts w:eastAsia="Times New Roman" w:ascii="Times New Roman" w:hAnsi="Times New Roman"/>
                  <w:sz w:val="24"/>
                  <w:szCs w:val="24"/>
                </w:rPr>
                <w:t>https://electronics.lnu.edu.ua/employee/o_sinkevych</w:t>
              </w:r>
            </w:hyperlink>
          </w:p>
        </w:tc>
      </w:tr>
      <w:tr>
        <w:trPr>
          <w:trHeight w:val="1160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Консультації в день проведення лекційних занять (за попередньою домовленістю). Також можливі он-лайн консультації через MS Teams та Telegram (у текстовому режимі). Для погодження часу онлайн консультацій слід писати на електронну пошту викладача, або в особистий Telegram.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Сторінка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https://electronics.lnu.edu.ua/course/kiberfizychni-systemy-ist</w:t>
            </w:r>
          </w:p>
        </w:tc>
      </w:tr>
      <w:tr>
        <w:trPr>
          <w:trHeight w:val="1381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Дисципліна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Кіберфізичні системи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є вибірковою дисципліною з спеціальності 126 Інформаційні системи та технології для освітньої програми «Інформаційні системи та технології», яка викладається в 6 семестрі в обсязі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6.0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Навчальну дисципліну розроблено таким чином, щоб надати студентам необхідні знання на практичні навички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для роботи з простими кіберфізичними системами (КС) на базі мікроконтролера STM32 та хаба на основі Nvidia Jetson Nano чи Raspberry Pi3 Model B+. Такі знання та навички слугують базисом для того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щоб вміти реалізовувати та застосовувати типові алгоритми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глибокого навчання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та відповідні їм структури даних для вирішення задач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прогнозування сенсорних даних та розпізнавання образів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. Тому у дисципліні представлено як теоретичні та математичні основи моделей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глибокого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навчання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рекурентні нейронні мережі, довга короткочасна пам’ять, генетичні алгоритми та ройові метаевристики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), так і конкретні реалізації та бібліотеки,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володіння якими є н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еобхідн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им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для створення прототипів 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розгортання моделей на граничних пристроях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Курс інтегрований з апаратною та програмною базами (на основі Python i Tensorflow 2).</w:t>
            </w:r>
          </w:p>
        </w:tc>
      </w:tr>
      <w:tr>
        <w:trPr>
          <w:trHeight w:val="1150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Метою вивчення вибіркової дисципліни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Кіберфізичні системи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>є одержання студентами знань про види КС та сучасні підходи до програмної розробки таких систем з використанням мови програмування Python 3; опанування навичок проектування КС на базі мікроконтролерної техніки сімейства STM32; ознайомлення з архітектурою нейронних мереж для обробки та моделювання даних для КС; набуття студентами практичних умінь застосування алгоритмів машинного навчання до КС.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375" w:hanging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Эндрю Траск. Грокаем глубокое обучение. СПб.: Питер, 2019. — 352 с.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Pardeep Kumar, Vasaki Ponnusamy, Vishal Jain. Industrial Internet of Things and Cyber-Physical Systems: Transforming the Conventional to Digital. Advances in Computer and Electrical Engineering. Engineering Science Reference. - 2021. - 458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Xun (Brian) Wu, Sudarshan Kadambi, Devram Kandhare, Aaron Ploetz. Seven NoSQL Databases in a Week. Packt Publishing Ltd. -2018. - 308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 xml:space="preserve">B. V. Vishwas, Ashish Patel.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 w:themeShade="ff" w:themeTint="ff"/>
                <w:sz w:val="24"/>
                <w:szCs w:val="24"/>
                <w:lang w:val="uk-UA"/>
              </w:rPr>
              <w:t>Hands-on Time Series Analysis with Python.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191919" w:themeShade="ff" w:themeTint="ff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Apress. - 2020. - 420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Warren Gay. Beginning STM32. Technology in Action. Apress. - 2018. - 432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https://machinelearningmastery.com/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Carmine Noviello. Mastering STM32. Lean Publishing. - 2018. - 852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Charu C. Aggarwal. Neural Networks and Deep Learning. Textbook. Springer. - 2018. - 512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Jason Brownlee. Clever Algorithms. Nature-Inspired Programming Recipes. - 2011. - 437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A. Vasuki. Nature-Inspired Optimization Algorithms. CRC Press. - 2020. - 275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>Himanshu Singh. Practical Machine Learning and Image Processing: For Facial Recognition, Object Detection, and Pattern Recognition Using Python. Apress. - 2019. - 177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uk-UA"/>
              </w:rPr>
              <w:t xml:space="preserve">Umberto Michelucci. </w:t>
              <w:tab/>
              <w:t>Advanced Applied Deep Learning: Convolutional Neural Networks and Object Detection. Apress. - 2019. - 294 c.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right="0" w:hanging="36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uk-UA"/>
              </w:rPr>
              <w:t>Agus Kurniawan. IoT Projects with NVIDIA Jetson Nano: AI-Enabled Internet of Things Projects for Beginners. Apress. - 2021. - 127 c.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64 години аудиторних занять. З них 32 години лекцій, 32 години лабораторних робіт та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116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 самостійної роботи.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75" w:hanging="36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 w:eastAsia="uk-UA"/>
              </w:rPr>
              <w:t xml:space="preserve">Знати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 w:eastAsia="uk-UA"/>
              </w:rPr>
              <w:t xml:space="preserve">сучасні тенденції розвитку інформаційних систем і технологій, демонструвати практичні навички програмування та використання прикладних і спеціалізованих комп’ютерних систем і комунікаційних технологій у професійній діяльності;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 w:eastAsia="uk-UA"/>
              </w:rPr>
              <w:t>процес створення чітко структурованих програм на мові Python під потреби КС; основи рекурентних нейронних мереж; механізм розгортання написаних моделей машинного навчання на мікроконтролері, а також інший теоретичний і практичний матеріал згідно програми курсу.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75" w:hanging="360"/>
              <w:jc w:val="both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 xml:space="preserve">Вміти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>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>астосовувати засвоєний матеріал для створення програмного забезпечення КС; створювати та використовувати сучасні нейромережеві архітектури для потреб моделювання даних КС; 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uk-UA"/>
              </w:rPr>
              <w:t>емонструвати навички використання інструментальних засобів інформаційних технологій під час проектування інформаційних систем і розроблення ІТ рішень для розвитку та управління бізнесом.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uk-UA"/>
              </w:rPr>
              <w:t> 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Python,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кіберфізичні системи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STM32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рекурентні нейронні мережі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довга короткочасна пам’ять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метаевристика, мультиагентні системи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Залік в кінці семестру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дисциплін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«Алгоритми та структури даних», «Основи програмування», «Дискретна математика».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Презентація, лекції, лабораторні роботи, обговорення, дискусія.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Мультимедіа, платформа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Microsoft Teams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, комп’ютерне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та апаратне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програмне забезпечення.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Оцінювання проводиться упродовж семестру за 100-бальною шкалою. Бали нараховуються за такими видами робіт з наступним співвідношенням: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лабораторні роботи: 60% семестрової оцінки; максимальна кількість балів 60.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контрольні заміри (2 модулі): 30% семестрової оцінки; максимальна кількість балів 30.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відвідування занять: 10% семестрової оцінки; максимальна кількість балів 10.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Загалом упродовж семестру 100 балів.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_____________________________________________________________.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Контрольні заміри проводяться у формі тестових завдань. 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лабораторні та контрольні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роботі студента є підставою для її незарахуванння викладачем, незалежно від масштабів плагіату чи обману.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лабораторні заняття курсу. Студенти мають інформувати викладача про неможливість відвідати заняття. Студенти зобов’язані дотримуватися усіх термінів визначених для виконання усіх видів робіт, передбачених курсом.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uk-UA"/>
              </w:rPr>
              <w:t xml:space="preserve"> Враховуються бали набрані на поточному тестуванні та самостійній роботі. При цьому обов’язково враховуються присутність на заняттях та активність студента під час лабораторного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Жодні форми порушення академічної доброчесності не толеруються.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контрольних робіт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uk-UA"/>
              </w:rPr>
              <w:t>Перелік питань та завдань для проведення підсумкової оцінки знань певних тем до контрольних робіт розміщені на веб-сторінці.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color w:val="000000"/>
          <w:sz w:val="28"/>
          <w:szCs w:val="28"/>
          <w:lang w:val="en-US"/>
        </w:rPr>
      </w:pPr>
      <w:r>
        <w:rPr>
          <w:rFonts w:eastAsia="Times New Roman" w:cs="Garamond" w:ascii="Garamond" w:hAnsi="Garamond"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color w:val="000000"/>
          <w:sz w:val="28"/>
          <w:szCs w:val="28"/>
        </w:rPr>
      </w:pPr>
      <w:r>
        <w:rPr>
          <w:rFonts w:eastAsia="Times New Roman" w:cs="Garamond" w:ascii="Garamond" w:hAnsi="Garamond"/>
          <w:color w:val="000000"/>
          <w:sz w:val="28"/>
          <w:szCs w:val="28"/>
        </w:rPr>
        <w:t>СХЕМА КУРСУ</w:t>
      </w:r>
    </w:p>
    <w:tbl>
      <w:tblPr>
        <w:tblW w:w="1056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9"/>
        <w:gridCol w:w="3121"/>
        <w:gridCol w:w="993"/>
        <w:gridCol w:w="2410"/>
        <w:gridCol w:w="2176"/>
        <w:gridCol w:w="1083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Тиж.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Ресурси в Інтернеті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Завдання (лабораторна робота),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Введення у КС. Машинне навчання у контексті КС. Типові задачі глибокого навчання КС.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Поняття КС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Види та типи. Типові проблеми КС у співвідношенні до індустріальних рішень.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Таксономія КС. Застосування машинного навчання у сучасних КС. Революція глибокого навчання: рекурентні, згорткові нейронні штучні мережі та трансформери. Сучасний стан проблеми застосування нейронних мереж у КС.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1, 2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overflowPunct w:val="false"/>
              <w:spacing w:before="0" w:after="20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Системи зберігання даних для edge-пристроїв з використанням апаратно-програмного хабу. InfluxDB.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>Поняття граничного (edge) пристрою. Граничні та туманні (fog) обчисле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 xml:space="preserve">ня. Мікроконтролер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>STM32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 xml:space="preserve"> та центральний хаб.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 xml:space="preserve">Проста сенсорна система вимірювання кліматичних параметрів. Raspberry Pi3 Model B+ та база сенсорних даних InfluxDB.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uk-UA" w:bidi="ar-SA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 xml:space="preserve">1,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 xml:space="preserve">2,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Розгортання InfluxDB на граничному пристрої,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 3 год.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overflowPunct w:val="false"/>
              <w:spacing w:before="0" w:after="20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  <w:lang w:val="ru-RU"/>
              </w:rPr>
              <w:t xml:space="preserve">3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Обробка даних та процес підготовки даних для моделей глибокого навчання. Трансформація даних.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Поняття інтелектуальної обробки даних. Бібліотека pandas та numpy. Бібліотека машин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ого навчання scikit-learn для Python.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Процес 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дготовки сенсорних даних з InfluxDB для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моделювання рекурентною нейронною мережею. Задача регресії та її перетворення до задачі класифікації. Трансформація даних у тривимірні масиви.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 xml:space="preserve">,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4, 6, 8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Реалізація конвертера для вхідних даних РН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, 4 год.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  <w:lang w:val="ru-RU"/>
              </w:rPr>
              <w:t xml:space="preserve">4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Моделі глибокого навчання для граничних обчислень. Рекурентні нейронні мережі (РН).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Основи моделей глибокого навчання для даних типу часових послідовностей. 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бмеження 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нейронн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мереж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при розгортанні на мікроконтролері сімейства STM32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F/H.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Рекурентні нейронні мережі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(РН)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: математична основа.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Навчання РН.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Клас RNN фреймворку Tensorflow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1, 6, 8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Реалізація (РН) засобами Python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, 2 год.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  <w:lang w:val="ru-RU"/>
              </w:rPr>
              <w:t xml:space="preserve">5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Вдосконалені моделі РН. Довга короткочасна пам’ять. Основи реалізації.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Недоліки РН. Проблема зникання градієнту під час навчання РН.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Модель довгої короткочасної пам’яті (LSTM).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Особливості використання на вибору гіперпараметрів.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Процес побудови LSTM з використанням Tensorflow 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Розгортання на мікрокомп’ютері Nvidia Jetson Nano.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  <w:t>1, 4, 6, 8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overflowPunct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Робота з довгою короткочасною пам’яттю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, 3 год.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overflowPunct w:val="false"/>
              <w:spacing w:before="0" w:after="20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  <w:lang w:val="ru-RU"/>
              </w:rPr>
              <w:t xml:space="preserve">6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 xml:space="preserve">Стискання та оптимізація РН. Квантування ваг та прийоми зменшення розміру моделей для граничного пристрою.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spacing w:lineRule="auto" w:line="240" w:before="0" w:afterAutospacing="0" w:after="0"/>
              <w:ind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Оптимізація гіперпараметрів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LSTM.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Пошук на сітці, випадковий пошук, баєсовська оптимізація засобами Tensorflow 2 та використання генетичних алгоритмів: пакети TPOT, DEAP.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Основи квантування ваг та дистиляції знань.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Оптимізація гіперпараметрів LSTM,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 4 год.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  <w:lang w:val="ru-RU"/>
              </w:rPr>
              <w:t xml:space="preserve">7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Мікроконтролер STM32. Архітектура та особливості. X-CUBE-AI. Розгортання моделі РН.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Архітектура мік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оконтролера STM32 F/H.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Пакет розширення X-CUBE-AI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та його програмний каркас.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Серіалізація моделей та їх конвертація для STM32.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Модуль serial. Розгортання LSTM моделі на STM32 та запуск.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77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>Поняття ройового інтелекту. Мета-евристика. Штучний бджолиний рій.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bidi w:val="0"/>
              <w:spacing w:lineRule="auto" w:line="259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Ройовий інтелект та мультиагентні системи у контексті КС.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та-евристики та їх застосування у підходах оптимізації РН та LSTM.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Алгоритм штучного бджолиного рою (ABC) для підбору архітектури та гіперпараметрів моделей LSTM та машинного навчання.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9, 10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Реалізація ройової метаевристики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, 4 год.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9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77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 xml:space="preserve">Метод рою часток. Паралелізація та оптимізація РН для edge-пристрою.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bidi w:val="0"/>
              <w:spacing w:lineRule="auto" w:line="259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Алгоритм рою часток (PSO) на базі програмного каркасу генетичного алгоритму.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Основи паралелізації Python. Паралельний запуск реалізації алгоритму на Nvidia Jetson Nano.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Оптимізація LSTM та GRU з використанням PSO.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  <w:t>9, 10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Робота з паралельним алгоритмом PSO для оптимізації LSTM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4 год.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Розщеплення оптимізованих РН для edge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/>
              </w:rPr>
              <w:t>пристроїв. Комбінація нейроконтролерів.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Розробка складних нейроних мереж. Розщеплення багатошарової LSTM/GRU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для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розгортання на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декількох мікроконтролер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ах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Апаратна комбінація STM32.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Застосування підходу дистиляції зн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нь засобами Tensorflow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6, 7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Автономні системи комп’ютерного зору. Вступ до згорткових нейронних мереж для edge-пристрою.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bidi w:val="0"/>
              <w:spacing w:lineRule="auto" w:line="259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Сучасний стан систем комп’ютерного зору для КС.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Коротка історія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итку.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Згорткові нейронні мережі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для обробки зображень.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Основні поняття та те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мінологія.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Приклад реалізація згорткової нейронної мережі з використанням Ten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orflow 2.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18"/>
                <w:szCs w:val="18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18"/>
                <w:szCs w:val="18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18"/>
                <w:szCs w:val="18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18"/>
                <w:szCs w:val="18"/>
                <w:lang w:val="uk-UA" w:eastAsia="en-US" w:bidi="ar-SA"/>
              </w:rPr>
              <w:t>11, 12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Класифікація зображень. MobileNet. 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 w:themeShade="ff" w:themeTint="ff"/>
                <w:kern w:val="0"/>
                <w:sz w:val="20"/>
                <w:szCs w:val="20"/>
                <w:lang w:val="uk-UA" w:eastAsia="zh-CN" w:bidi="ar-SA"/>
              </w:rPr>
              <w:t xml:space="preserve">Проблема класифікації зображень згортковими нейронними мережами. Процес підготовки зображень.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 w:themeShade="ff" w:themeTint="ff"/>
                <w:kern w:val="0"/>
                <w:sz w:val="20"/>
                <w:szCs w:val="20"/>
                <w:lang w:val="uk-UA" w:eastAsia="zh-CN" w:bidi="ar-SA"/>
              </w:rPr>
              <w:t xml:space="preserve">Зменшені архітектури нейромереж та їх навчання. Введення у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0"/>
                <w:szCs w:val="20"/>
                <w:lang w:val="uk-UA" w:eastAsia="zh-CN" w:bidi="ar-SA"/>
              </w:rPr>
              <w:t xml:space="preserve">MobileNet.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0"/>
                <w:szCs w:val="20"/>
                <w:lang w:val="uk-UA" w:eastAsia="zh-CN" w:bidi="ar-SA"/>
              </w:rPr>
              <w:t xml:space="preserve">Тренування на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 w:themeShade="ff" w:themeTint="ff"/>
                <w:kern w:val="0"/>
                <w:sz w:val="20"/>
                <w:szCs w:val="20"/>
                <w:lang w:val="uk-UA" w:eastAsia="zh-CN" w:bidi="ar-SA"/>
              </w:rPr>
              <w:t>Nvidia Jetson Nano.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  <w:t>1, 11, 12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Класифікація об’єктів зображень з використанням архітектури MobileNet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, 4 год.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15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931" w:leader="none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uk-UA"/>
              </w:rPr>
              <w:t xml:space="preserve">Виявлення та ідентифікація об’єктів. Алгоритм YOLO.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bidi w:val="0"/>
              <w:spacing w:lineRule="auto" w:line="259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Виявлення об’єктів на зображеннях.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Короткий огляд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R-CNN, Fast R-CNN, Faster R-CNN, Mask R-CNN.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Швидкі алгоритми виявлення зображень: YOLO.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Будівельні блоки YOLO на особливості реалізації.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kern w:val="0"/>
                <w:sz w:val="20"/>
                <w:szCs w:val="20"/>
                <w:lang w:val="uk-UA" w:eastAsia="en-US" w:bidi="ar-SA"/>
              </w:rPr>
              <w:t>1, 12, 13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14, 15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/>
              </w:rPr>
              <w:t xml:space="preserve">Реалізація YOLO детектора для edge-пристрою. Розгортання. 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Реалізація алгоритму YOLO засобами Tensorflow 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Підготовка до розгортання. Docker-контейнеризація.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 xml:space="preserve">Розгортання на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Nvidia Jetson Nano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. Основи ML OPS.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 xml:space="preserve">, 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12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, 1</w:t>
            </w: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uk-UA" w:eastAsia="zh-CN" w:bidi="ar-SA"/>
              </w:rPr>
              <w:t>Розгортання реалізація алгоритму YOLO на Nvidia Jetson Nano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, 4 год.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16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тиж. семестру</w:t>
            </w:r>
          </w:p>
        </w:tc>
      </w:tr>
      <w:tr>
        <w:trPr/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8931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Підсумкове заняття.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Задачі індустрії КС. Подальші кроки самовдосконалення.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 w:themeColor="text1" w:themeShade="ff" w:themeTint="ff"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04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7e3c92"/>
    <w:rPr>
      <w:rFonts w:ascii="Segoe UI" w:hAnsi="Segoe UI" w:eastAsia="Calibri" w:cs="Segoe UI"/>
      <w:sz w:val="18"/>
      <w:szCs w:val="18"/>
    </w:rPr>
  </w:style>
  <w:style w:type="character" w:styleId="Style14">
    <w:name w:val="Гіперпосилання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Шрифт абзацу за промовчанням"/>
    <w:qFormat/>
    <w:rPr/>
  </w:style>
  <w:style w:type="character" w:styleId="Strong">
    <w:name w:val="Strong"/>
    <w:basedOn w:val="Style15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f22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3c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597a80"/>
    <w:pPr>
      <w:spacing w:lineRule="auto" w:line="240" w:beforeAutospacing="1" w:afterAutospacing="1"/>
    </w:pPr>
    <w:rPr>
      <w:rFonts w:ascii="Times New Roman" w:hAnsi="Times New Roman" w:eastAsia="Times New Roman"/>
      <w:color w:val="00008B"/>
      <w:sz w:val="24"/>
      <w:szCs w:val="24"/>
      <w:lang w:val="ru-RU" w:eastAsia="ru-RU"/>
    </w:rPr>
  </w:style>
  <w:style w:type="paragraph" w:styleId="Default" w:customStyle="1">
    <w:name w:val="Default"/>
    <w:qFormat/>
    <w:rsid w:val="00ee3f6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ectronics.lnu.edu.ua/employee/o_sinkevyc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LibreOffice/7.1.1.2$Linux_X86_64 LibreOffice_project/10$Build-2</Application>
  <AppVersion>15.0000</AppVersion>
  <Pages>8</Pages>
  <Words>1858</Words>
  <Characters>12625</Characters>
  <CharactersWithSpaces>14322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2021-01-09T18:40:00Z</dcterms:created>
  <dc:creator>LNU</dc:creator>
  <dc:description/>
  <dc:language>uk-UA</dc:language>
  <cp:lastModifiedBy/>
  <cp:lastPrinted>2020-10-10T00:13:00Z</cp:lastPrinted>
  <dcterms:modified xsi:type="dcterms:W3CDTF">2021-03-29T22:30:48Z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